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43E0">
      <w:pPr>
        <w:widowControl/>
        <w:kinsoku w:val="0"/>
        <w:autoSpaceDE w:val="0"/>
        <w:autoSpaceDN w:val="0"/>
        <w:adjustRightInd w:val="0"/>
        <w:snapToGrid w:val="0"/>
        <w:spacing w:before="132" w:line="216" w:lineRule="auto"/>
        <w:ind w:left="2781"/>
        <w:jc w:val="left"/>
        <w:textAlignment w:val="baseline"/>
        <w:outlineLvl w:val="0"/>
        <w:rPr>
          <w:color w:val="auto"/>
          <w:sz w:val="28"/>
          <w:szCs w:val="32"/>
        </w:rPr>
      </w:pPr>
      <w:r>
        <w:rPr>
          <w:rFonts w:ascii="等线" w:hAnsi="等线" w:eastAsia="等线" w:cs="等线"/>
          <w:b/>
          <w:bCs/>
          <w:snapToGrid w:val="0"/>
          <w:color w:val="auto"/>
          <w:spacing w:val="9"/>
          <w:kern w:val="0"/>
          <w:sz w:val="40"/>
          <w:szCs w:val="40"/>
          <w:lang w:val="en-US" w:eastAsia="en-US" w:bidi="ar-SA"/>
        </w:rPr>
        <w:t>保险公司入库评分标准表</w:t>
      </w:r>
    </w:p>
    <w:tbl>
      <w:tblPr>
        <w:tblStyle w:val="12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6"/>
        <w:gridCol w:w="1200"/>
        <w:gridCol w:w="1227"/>
        <w:gridCol w:w="4387"/>
        <w:gridCol w:w="773"/>
        <w:gridCol w:w="841"/>
        <w:gridCol w:w="1292"/>
      </w:tblGrid>
      <w:tr w14:paraId="369A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2EB75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32674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考核项目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85E84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考评内容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57A58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16" w:lineRule="auto"/>
              <w:ind w:left="0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考评规则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9CD74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分值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DAB47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评分</w:t>
            </w: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CE1CC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6" w:lineRule="auto"/>
              <w:ind w:left="49"/>
              <w:jc w:val="center"/>
              <w:textAlignment w:val="baseline"/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auto"/>
                <w:spacing w:val="5"/>
                <w:kern w:val="0"/>
                <w:sz w:val="22"/>
                <w:szCs w:val="22"/>
              </w:rPr>
              <w:t>得分依据</w:t>
            </w:r>
          </w:p>
        </w:tc>
      </w:tr>
      <w:tr w14:paraId="6BE7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7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019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jc w:val="center"/>
              <w:textAlignment w:val="baseline"/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240E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基础资质与合规性（30%）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AD50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营业执照与经营许可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0571E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具备有效期内的营业执照、保险业务经营许可证，证照齐全且合规得8分；证照齐全但有细微瑕疵（如备案更新延迟≤30天）得5分；证照不全或存在违规记录得0分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A58C6">
            <w:pPr>
              <w:pStyle w:val="18"/>
              <w:jc w:val="center"/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BA6D9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622DE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提供证照复印件、合规经营承诺书</w:t>
            </w:r>
          </w:p>
        </w:tc>
      </w:tr>
      <w:tr w14:paraId="0061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8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3E39A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4B49B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D188D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监管合规情况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176AD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在2023年至2025年期间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无监管处罚、行政警告记录得7分；有1次轻微警告记录得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分；有处罚记录或2次及以上警告得0分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3F525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0-7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B29A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CF678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监管部门公示信息、企业合规报告</w:t>
            </w:r>
          </w:p>
        </w:tc>
      </w:tr>
      <w:tr w14:paraId="2069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5DAF1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DD9E56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90D5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经营范围匹配度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2DC05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经营范围完全覆盖入库所需保险类型（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车险、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财产险、责任险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、工程险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等）得7分；未覆盖核心业务得0分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6E2EA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0-7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ACD0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D244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营业执照经营范围页、业务说明文件</w:t>
            </w:r>
          </w:p>
        </w:tc>
      </w:tr>
      <w:tr w14:paraId="3B30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9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874CD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2246F">
            <w:pPr>
              <w:pStyle w:val="1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F3CC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内部管理制度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327E6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具备完善的承保、理赔、风控、客户服务等管理制度，可落地执行得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8分；制度基本完善但部分流程待优化得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5分；制度缺失或无法执行得0分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52AE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A3F5C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AB86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相关制度文件、流程说明材料</w:t>
            </w:r>
          </w:p>
        </w:tc>
      </w:tr>
      <w:tr w14:paraId="4BDA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4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56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jc w:val="center"/>
              <w:textAlignment w:val="baseline"/>
              <w:rPr>
                <w:color w:val="auto"/>
                <w:sz w:val="24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7994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业务能力与服务质量（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%）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724B7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同类项目经验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32E9E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在2020年至2025年期间，承接央国企及行政事业性单位的车险、财产险、责任险、工程险业务，每提供一种险种且数量达到2个（含）以上，可获2.5分，本项最高得分10分。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2E56B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0-10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2047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C970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合作合同复印件、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发票</w:t>
            </w:r>
          </w:p>
        </w:tc>
      </w:tr>
      <w:tr w14:paraId="37E6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C984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36D73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3EE1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理赔服务效率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30A50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平均理赔结案时效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＜3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个工作日得8分；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-10个工作日得5分；＞10个工作日得1分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8E02C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5BA1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9BC52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近1年理赔数据统计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报表</w:t>
            </w:r>
          </w:p>
        </w:tc>
      </w:tr>
      <w:tr w14:paraId="4805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7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794D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11A7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15E7C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服务团队配置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DBE31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团队成员持有保险、法律相关资格证书，每证计2分，最高可得6分，同一人员不重复计分。团队成员须为响应供应商的正式员工，需提供人员证书及最近1个月内响应供应商为其缴纳社保的证明。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83EFA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0-6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312F4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1FD09">
            <w:pPr>
              <w:pStyle w:val="18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团队架构说明、人员资质证明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、社保</w:t>
            </w:r>
          </w:p>
        </w:tc>
      </w:tr>
      <w:tr w14:paraId="2120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6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6921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33FF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0A548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增值服务能力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A4C0F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提供风险评估、防灾防损培训、应急演练指导等增值服务得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6分；提供部分增值服务得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3分；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若未提供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则不得分。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85F0F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0-6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E937C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25AA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增值服务方案、服务落地证明材料</w:t>
            </w:r>
          </w:p>
        </w:tc>
      </w:tr>
      <w:tr w14:paraId="4D96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6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CFC4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62D3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85E43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客户投诉处理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7921A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近1年投诉率≤1%且处理满意度≥95%得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5分；投诉率1%-3%或满意度85%-94%得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3分；投诉率＞3%或满意度＜85%得0分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1A28C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0-5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3537D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12CD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投诉记录台账、客户满意度调查结果</w:t>
            </w:r>
          </w:p>
        </w:tc>
      </w:tr>
      <w:tr w14:paraId="4629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6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7CCA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D062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财务实力与风险管控（25%）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A64FD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财务稳定性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5BE6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2023、2024年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净资产持续增长、无亏损得8分；净资产稳定无亏损得5分；出现</w:t>
            </w:r>
            <w:bookmarkStart w:id="0" w:name="_GoBack"/>
            <w:bookmarkEnd w:id="0"/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亏损或净资产大幅下滑得1分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3EEE56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45B1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76E60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2023年、2024年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财务报表（审计版）</w:t>
            </w:r>
          </w:p>
        </w:tc>
      </w:tr>
      <w:tr w14:paraId="5904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7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574B3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40CC0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825C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偿付能力充足率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3529F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核心偿付能力充足率≥100%、综合偿付能力充足率≥150%得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6-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8分；满足监管最低要求（核心≥50%、综合≥100%）得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5分；不满足监管要求得0分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06FCF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0-8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F33FC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468B0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监管偿付能力报告、企业财务说明</w:t>
            </w:r>
          </w:p>
        </w:tc>
      </w:tr>
      <w:tr w14:paraId="78B2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321C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B7AA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823E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风险准备金计提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A4C65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按监管要求足额计提风险准备金得4分；计提比例≥80%得2分；计提不足80%得0分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1BA12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0-4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2B69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1DBB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准备金计提凭证、财务审计说明</w:t>
            </w:r>
          </w:p>
        </w:tc>
      </w:tr>
      <w:tr w14:paraId="2ABB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6BDF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0C3E3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EBF127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再保险安排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AF352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针对高风险业务有完善再保险方案得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4-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5分；有基础再保险安排得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3分；无再保险方案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不得分。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B5D67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1-5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5273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E3A73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再保险合同复印件、风险分散方案</w:t>
            </w:r>
          </w:p>
        </w:tc>
      </w:tr>
      <w:tr w14:paraId="0FDC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2" w:hRule="atLeast"/>
          <w:jc w:val="center"/>
        </w:trPr>
        <w:tc>
          <w:tcPr>
            <w:tcW w:w="7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F54D8">
            <w:pPr>
              <w:pStyle w:val="18"/>
              <w:ind w:firstLine="380" w:firstLineChars="200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12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F15C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其他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（10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166C4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行业荣誉与认证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0D610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2022-2025年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内获得国家级行业奖项/认证得4分；省级奖项/认证得2分；市级奖项/认证得1分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；若未提供则不得分。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AA4BA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0-4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7702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11D30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奖项证书、认证文件复印件（不重复计分，取最高项）</w:t>
            </w:r>
          </w:p>
        </w:tc>
      </w:tr>
      <w:tr w14:paraId="4DAE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EDE6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EE5D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D67B0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创新服务模式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6BF18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采用智能化承保理赔系统（如线上报案、自动核保）得3分；有其他服务创新举措（如定制化保险方案）得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1-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2分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；若未提供则不得分。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A5B59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0-3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D902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0DCCF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系统功能说明、创新服务案例</w:t>
            </w:r>
          </w:p>
        </w:tc>
      </w:tr>
      <w:tr w14:paraId="7660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7" w:hRule="atLeast"/>
          <w:jc w:val="center"/>
        </w:trPr>
        <w:tc>
          <w:tcPr>
            <w:tcW w:w="7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ED6DA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FA5C1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8A4A5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绿色保险业务布局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E2598">
            <w:pPr>
              <w:pStyle w:val="1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left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开展环境污染责任险、绿色能源保险等绿色保险业务得3分；有相关业务规划但未落地得1分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；若未提供则不得分。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7D0C8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0-3</w:t>
            </w: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D5937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5B37B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绿色保险产品说明、业务开展证明</w:t>
            </w:r>
          </w:p>
        </w:tc>
      </w:tr>
      <w:tr w14:paraId="15EF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5D373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784502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CF6E62">
            <w:pPr>
              <w:pStyle w:val="18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得分</w:t>
            </w:r>
          </w:p>
        </w:tc>
        <w:tc>
          <w:tcPr>
            <w:tcW w:w="4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70238">
            <w:pPr>
              <w:pStyle w:val="18"/>
              <w:jc w:val="left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>结论：□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合格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zh-CN" w:bidi="ar-SA"/>
              </w:rPr>
              <w:t xml:space="preserve">  □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不合格</w:t>
            </w:r>
          </w:p>
        </w:tc>
        <w:tc>
          <w:tcPr>
            <w:tcW w:w="7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A9FD6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8B7C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2069EE">
            <w:pPr>
              <w:pStyle w:val="18"/>
              <w:jc w:val="center"/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0"/>
                <w:kern w:val="0"/>
                <w:sz w:val="21"/>
                <w:szCs w:val="21"/>
                <w:lang w:val="en-US" w:eastAsia="en-US" w:bidi="ar-SA"/>
              </w:rPr>
              <w:t>70分及以上为合格，总分不超过100分</w:t>
            </w:r>
          </w:p>
        </w:tc>
      </w:tr>
    </w:tbl>
    <w:p w14:paraId="1005CC86">
      <w:pPr>
        <w:pStyle w:val="18"/>
        <w:rPr>
          <w:rFonts w:ascii="仿宋" w:hAnsi="仿宋" w:eastAsia="仿宋" w:cs="仿宋"/>
          <w:snapToGrid w:val="0"/>
          <w:color w:val="auto"/>
          <w:spacing w:val="-10"/>
          <w:kern w:val="0"/>
          <w:sz w:val="18"/>
          <w:szCs w:val="18"/>
          <w:lang w:val="en-US" w:eastAsia="en-US" w:bidi="ar-SA"/>
        </w:rPr>
      </w:pPr>
    </w:p>
    <w:sectPr>
      <w:pgSz w:w="11906" w:h="16838"/>
      <w:pgMar w:top="1213" w:right="1043" w:bottom="1270" w:left="104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0C389A"/>
    <w:rsid w:val="02C170CB"/>
    <w:rsid w:val="02FF18BC"/>
    <w:rsid w:val="032C4E8C"/>
    <w:rsid w:val="05A77E0E"/>
    <w:rsid w:val="076D7821"/>
    <w:rsid w:val="08253C58"/>
    <w:rsid w:val="08D35DAA"/>
    <w:rsid w:val="0D026C5D"/>
    <w:rsid w:val="0EAE0E4B"/>
    <w:rsid w:val="1032785A"/>
    <w:rsid w:val="124D097B"/>
    <w:rsid w:val="12CD386A"/>
    <w:rsid w:val="13427DB4"/>
    <w:rsid w:val="14A625C4"/>
    <w:rsid w:val="160B137A"/>
    <w:rsid w:val="163F05DA"/>
    <w:rsid w:val="1647748F"/>
    <w:rsid w:val="16EF2001"/>
    <w:rsid w:val="18550589"/>
    <w:rsid w:val="1AFC2F3E"/>
    <w:rsid w:val="1B19589E"/>
    <w:rsid w:val="1B446693"/>
    <w:rsid w:val="1D4111A9"/>
    <w:rsid w:val="20062169"/>
    <w:rsid w:val="21BE3F8B"/>
    <w:rsid w:val="221A39C9"/>
    <w:rsid w:val="27FF5E1C"/>
    <w:rsid w:val="292875F4"/>
    <w:rsid w:val="292F44DF"/>
    <w:rsid w:val="2A602DED"/>
    <w:rsid w:val="2EBA2A9C"/>
    <w:rsid w:val="2F2A5E74"/>
    <w:rsid w:val="2F7D70BA"/>
    <w:rsid w:val="31A4677D"/>
    <w:rsid w:val="31AF08B2"/>
    <w:rsid w:val="31CF2D03"/>
    <w:rsid w:val="344C063B"/>
    <w:rsid w:val="34904D0D"/>
    <w:rsid w:val="35470E02"/>
    <w:rsid w:val="3582570D"/>
    <w:rsid w:val="366C0B20"/>
    <w:rsid w:val="36BB5604"/>
    <w:rsid w:val="3801798E"/>
    <w:rsid w:val="387939C8"/>
    <w:rsid w:val="390C0398"/>
    <w:rsid w:val="3C4A23C5"/>
    <w:rsid w:val="40BE58C5"/>
    <w:rsid w:val="41764F49"/>
    <w:rsid w:val="421E43D8"/>
    <w:rsid w:val="426B6130"/>
    <w:rsid w:val="42CD17EE"/>
    <w:rsid w:val="43CB4B0E"/>
    <w:rsid w:val="45E5444B"/>
    <w:rsid w:val="49425522"/>
    <w:rsid w:val="4E015B9A"/>
    <w:rsid w:val="501F0559"/>
    <w:rsid w:val="53A5346C"/>
    <w:rsid w:val="54900E70"/>
    <w:rsid w:val="55287EB0"/>
    <w:rsid w:val="557771E9"/>
    <w:rsid w:val="56A309A9"/>
    <w:rsid w:val="5818245E"/>
    <w:rsid w:val="5A92292D"/>
    <w:rsid w:val="5B61236E"/>
    <w:rsid w:val="5B9333DF"/>
    <w:rsid w:val="5C73229D"/>
    <w:rsid w:val="5C8C51C9"/>
    <w:rsid w:val="5EE4309A"/>
    <w:rsid w:val="5FA42829"/>
    <w:rsid w:val="6155027F"/>
    <w:rsid w:val="65F8567D"/>
    <w:rsid w:val="66B66B55"/>
    <w:rsid w:val="670267B3"/>
    <w:rsid w:val="68632C80"/>
    <w:rsid w:val="6E3F653F"/>
    <w:rsid w:val="708446DD"/>
    <w:rsid w:val="71EA4A14"/>
    <w:rsid w:val="73236865"/>
    <w:rsid w:val="73394595"/>
    <w:rsid w:val="73BB0416"/>
    <w:rsid w:val="746A3BEA"/>
    <w:rsid w:val="776808B4"/>
    <w:rsid w:val="780103C1"/>
    <w:rsid w:val="795135CA"/>
    <w:rsid w:val="7B636AB9"/>
    <w:rsid w:val="7BCB7664"/>
    <w:rsid w:val="7C1D7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24"/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character" w:customStyle="1" w:styleId="21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1334</Words>
  <Characters>1449</Characters>
  <TotalTime>33</TotalTime>
  <ScaleCrop>false</ScaleCrop>
  <LinksUpToDate>false</LinksUpToDate>
  <CharactersWithSpaces>1451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2025-11-19T03:01:00Z</dcterms:created>
  <dc:creator>Un-named</dc:creator>
  <cp:lastModifiedBy>添&amp;宁</cp:lastModifiedBy>
  <cp:lastPrinted>2025-11-20T02:32:00Z</cp:lastPrinted>
  <dcterms:modified xsi:type="dcterms:W3CDTF">2025-11-26T01:52:00Z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eyJoZGlkIjoiMGJhNGZiODBiOTdkZWZjMTY4MzNlMzE3OTg2Y2IyYWUiLCJ1c2VySWQiOiIzMzQ3NDUyNDAifQ==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9926ED1C44C845EB8899F1BC49D0332A_13</vt:lpwstr>
  </property>
</Properties>
</file>